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rPr>
          <w:bCs/>
          <w:b/>
        </w:rPr>
        <w:t xml:space="preserve">Lesson: Finding Definite Integrals Using Area Formulas</w:t>
      </w:r>
    </w:p>
    <w:p/>
    <w:p/>
    <w:p>
      <w:pPr>
        <w:pStyle w:val="BodyText"/>
      </w:pPr>
      <w:r>
        <w:t xml:space="preserve">If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</m:oMath>
      <w:r>
        <w:t xml:space="preserve"> </w:t>
      </w:r>
      <w:r>
        <w:t xml:space="preserve">is nonnegative and integrable over</w:t>
      </w:r>
      <w:r>
        <w:t xml:space="preserve"> </w:t>
      </w:r>
      <m:oMath>
        <m:d>
          <m:dPr>
            <m:begChr m:val="["/>
            <m:endChr m:val="]"/>
            <m:sepChr m:val=""/>
            <m:grow/>
          </m:dPr>
          <m:e>
            <m:r>
              <m:t>a</m:t>
            </m:r>
            <m:r>
              <m:rPr>
                <m:sty m:val="p"/>
              </m:rPr>
              <m:t>,</m:t>
            </m:r>
            <m:r>
              <m:t>b</m:t>
            </m:r>
          </m:e>
        </m:d>
      </m:oMath>
      <w:r>
        <w:t xml:space="preserve">, how do we define the area under the curve</w:t>
      </w:r>
      <w:r>
        <w:t xml:space="preserve"> </w:t>
      </w:r>
      <m:oMath>
        <m:r>
          <m:t>y</m:t>
        </m:r>
        <m:r>
          <m:rPr>
            <m:sty m:val="p"/>
          </m:rPr>
          <m:t>=</m:t>
        </m:r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</m:oMath>
      <w:r>
        <w:t xml:space="preserve">?</w:t>
      </w:r>
    </w:p>
    <w:p/>
    <w:p/>
    <w:p/>
    <w:p/>
    <w:p/>
    <w:p>
      <w:pPr>
        <w:pStyle w:val="BodyText"/>
      </w:pPr>
      <w:r>
        <w:t xml:space="preserve">This means that we can calculate definite integrals using known area formulas when possible, as opposed to using Riemann sums.</w:t>
      </w:r>
    </w:p>
    <w:p/>
    <w:p>
      <w:pPr>
        <w:pStyle w:val="BodyText"/>
      </w:pPr>
      <w:r>
        <w:rPr>
          <w:bCs/>
          <w:b/>
        </w:rPr>
        <w:t xml:space="preserve">Example</w:t>
      </w:r>
      <w:r>
        <w:t xml:space="preserve"> </w:t>
      </w:r>
      <w:r>
        <w:t xml:space="preserve">Sketch the following curves and use known area formulas to evaluate the definite integrals.</w:t>
      </w:r>
    </w:p>
    <w:p/>
    <w:p>
      <w:pPr>
        <w:pStyle w:val="BodyText"/>
      </w:pPr>
      <w:r>
        <w:t xml:space="preserve">a. </w:t>
      </w:r>
      <m:oMath>
        <m:nary>
          <m:naryPr>
            <m:chr m:val="∫"/>
            <m:limLoc m:val="subSup"/>
            <m:subHide m:val="off"/>
            <m:supHide m:val="off"/>
          </m:naryPr>
          <m:sub>
            <m:r>
              <m:rPr>
                <m:sty m:val="p"/>
              </m:rPr>
              <m:t>−</m:t>
            </m:r>
            <m:r>
              <m:t>1</m:t>
            </m:r>
          </m:sub>
          <m:sup>
            <m:r>
              <m:t>1</m:t>
            </m:r>
          </m:sup>
          <m:e>
            <m:d>
              <m:dPr>
                <m:begChr m:val="("/>
                <m:endChr m:val=")"/>
                <m:sepChr m:val=""/>
                <m:grow/>
              </m:dPr>
              <m:e>
                <m:r>
                  <m:t>3</m:t>
                </m:r>
                <m:r>
                  <m:rPr>
                    <m:sty m:val="p"/>
                  </m:rPr>
                  <m:t>−</m:t>
                </m:r>
                <m:d>
                  <m:dPr>
                    <m:begChr m:val="|"/>
                    <m:endChr m:val="|"/>
                    <m:sepChr m:val=""/>
                    <m:grow/>
                  </m:dPr>
                  <m:e>
                    <m:r>
                      <m:t>x</m:t>
                    </m:r>
                  </m:e>
                </m:d>
              </m:e>
            </m:d>
          </m:e>
        </m:nary>
        <m:r>
          <m:t> </m:t>
        </m:r>
        <m:r>
          <m:t>d</m:t>
        </m:r>
        <m:r>
          <m:t>x</m:t>
        </m:r>
      </m:oMath>
    </w:p>
    <w:p/>
    <w:p/>
    <w:p/>
    <w:p/>
    <w:p/>
    <w:p/>
    <w:p/>
    <w:p>
      <w:pPr>
        <w:pStyle w:val="BodyText"/>
      </w:pPr>
      <w:r>
        <w:t xml:space="preserve">b. </w:t>
      </w:r>
      <m:oMath>
        <m:nary>
          <m:naryPr>
            <m:chr m:val="∫"/>
            <m:limLoc m:val="subSup"/>
            <m:subHide m:val="off"/>
            <m:supHide m:val="off"/>
          </m:naryPr>
          <m:sub>
            <m:r>
              <m:t>0</m:t>
            </m:r>
          </m:sub>
          <m:sup>
            <m:r>
              <m:t>3</m:t>
            </m:r>
          </m:sup>
          <m:e>
            <m:d>
              <m:dPr>
                <m:begChr m:val="("/>
                <m:endChr m:val=")"/>
                <m:sepChr m:val=""/>
                <m:grow/>
              </m:dPr>
              <m:e>
                <m:r>
                  <m:t>2</m:t>
                </m:r>
                <m:r>
                  <m:t>x</m:t>
                </m:r>
              </m:e>
            </m:d>
          </m:e>
        </m:nary>
        <m:r>
          <m:t> </m:t>
        </m:r>
        <m:r>
          <m:t>d</m:t>
        </m:r>
        <m:r>
          <m:t>x</m:t>
        </m:r>
      </m:oMath>
    </w:p>
    <w:p/>
    <w:p/>
    <w:p/>
    <w:p/>
    <w:p/>
    <w:p/>
    <w:p/>
    <w:p>
      <w:pPr>
        <w:pStyle w:val="BodyText"/>
      </w:pPr>
      <w:r>
        <w:t xml:space="preserve">c. </w:t>
      </w:r>
      <m:oMath>
        <m:nary>
          <m:naryPr>
            <m:chr m:val="∫"/>
            <m:limLoc m:val="subSup"/>
            <m:subHide m:val="off"/>
            <m:supHide m:val="off"/>
          </m:naryPr>
          <m:sub>
            <m:r>
              <m:t>0</m:t>
            </m:r>
          </m:sub>
          <m:sup>
            <m:r>
              <m:t>2</m:t>
            </m:r>
          </m:sup>
          <m:e>
            <m:d>
              <m:dPr>
                <m:begChr m:val="("/>
                <m:endChr m:val=")"/>
                <m:sepChr m:val=""/>
                <m:grow/>
              </m:dPr>
              <m:e>
                <m:r>
                  <m:t>2</m:t>
                </m:r>
                <m:r>
                  <m:t>x</m:t>
                </m:r>
                <m:r>
                  <m:rPr>
                    <m:sty m:val="p"/>
                  </m:rPr>
                  <m:t>+</m:t>
                </m:r>
                <m:r>
                  <m:t>1</m:t>
                </m:r>
              </m:e>
            </m:d>
          </m:e>
        </m:nary>
        <m:r>
          <m:t> </m:t>
        </m:r>
        <m:r>
          <m:t>d</m:t>
        </m:r>
        <m:r>
          <m:t>x</m:t>
        </m:r>
      </m:oMath>
    </w:p>
    <w:p/>
    <w:p/>
    <w:p/>
    <w:p/>
    <w:p/>
    <w:p/>
    <w:p/>
    <w:sectPr w:rsidR="003D42C9" w:rsidRPr="003D42C9" w:rsidSect="00240C55">
      <w:footerReference r:id="rId9" w:type="default"/>
      <w:pgSz w:h="15840" w:w="12240"/>
      <w:pgMar w:bottom="720" w:footer="720" w:gutter="0" w:header="720" w:left="720" w:right="720" w:top="72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Footer"/>
    </w:pPr>
    <w:r>
      <w:t xml:space="preserve">Copyright 2020, Jennifer Hill, DivideandConquerMath.com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hanging="360" w:left="720"/>
      </w:pPr>
      <w:rPr>
        <w:rFonts w:ascii="Wingdings" w:cstheme="minorBidi" w:eastAsiaTheme="minorEastAsia" w:hAnsi="Wingdings" w:hint="default"/>
        <w:i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3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4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5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6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hanging="360" w:left="720"/>
      </w:pPr>
      <w:rPr>
        <w:rFonts w:ascii="Wingdings" w:cstheme="minorBidi" w:eastAsiaTheme="minorEastAsia" w:hAnsi="Wingdings" w:hint="default"/>
        <w:i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7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8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16cid:durableId="1118448428" w:numId="1">
    <w:abstractNumId w:val="2"/>
  </w:num>
  <w:num w16cid:durableId="689139488" w:numId="2">
    <w:abstractNumId w:val="3"/>
  </w:num>
  <w:num w16cid:durableId="305744910" w:numId="3">
    <w:abstractNumId w:val="1"/>
  </w:num>
  <w:num w16cid:durableId="1518613981" w:numId="4">
    <w:abstractNumId w:val="6"/>
  </w:num>
  <w:num w16cid:durableId="1756703298" w:numId="5">
    <w:abstractNumId w:val="0"/>
  </w:num>
  <w:num w16cid:durableId="1019310988" w:numId="6">
    <w:abstractNumId w:val="5"/>
  </w:num>
  <w:num w16cid:durableId="1581213623" w:numId="7">
    <w:abstractNumId w:val="7"/>
  </w:num>
  <w:num w16cid:durableId="1728143853" w:numId="8">
    <w:abstractNumId w:val="4"/>
  </w:num>
  <w:num w16cid:durableId="937910217" w:numId="9">
    <w:abstractNumId w:val="8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embedSystemFonts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proofState w:grammar="clean"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</w:style>
  <w:style w:styleId="Heading4" w:type="paragraph">
    <w:name w:val="heading 4"/>
    <w:basedOn w:val="Normal"/>
    <w:link w:val="Heading4Char"/>
    <w:uiPriority w:val="9"/>
    <w:qFormat/>
    <w:rsid w:val="00E45B8F"/>
    <w:pPr>
      <w:outlineLvl w:val="3"/>
    </w:pPr>
    <w:rPr>
      <w:b/>
      <w:b/>
      <w:bCs/>
    </w:rPr>
  </w:style>
  <w:style w:styleId="Heading5" w:type="paragraph">
    <w:name w:val="heading 5"/>
    <w:basedOn w:val="Normal"/>
    <w:link w:val="Heading5Char"/>
    <w:uiPriority w:val="9"/>
    <w:qFormat/>
    <w:rsid w:val="00E45B8F"/>
    <w:pPr>
      <w:outlineLvl w:val="4"/>
    </w:pPr>
    <w:rPr>
      <w:b/>
      <w:b/>
      <w:bCs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PlaceholderText" w:type="character">
    <w:name w:val="Placeholder Text"/>
    <w:basedOn w:val="DefaultParagraphFont"/>
    <w:uiPriority w:val="99"/>
    <w:semiHidden/>
    <w:rsid w:val="00240C55"/>
    <w:rPr>
      <w:color w:val="808080"/>
    </w:rPr>
  </w:style>
  <w:style w:styleId="ListParagraph" w:type="paragraph">
    <w:name w:val="List Paragraph"/>
    <w:basedOn w:val="Normal"/>
    <w:uiPriority w:val="34"/>
    <w:qFormat/>
    <w:rsid w:val="009044B7"/>
    <w:pPr>
      <w:ind w:left="720"/>
      <w:contextualSpacing/>
    </w:pPr>
  </w:style>
  <w:style w:styleId="TableGrid" w:type="table">
    <w:name w:val="Table Grid"/>
    <w:basedOn w:val="TableNormal"/>
    <w:uiPriority w:val="39"/>
    <w:rsid w:val="008451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eader" w:type="paragraph">
    <w:name w:val="header"/>
    <w:basedOn w:val="Normal"/>
    <w:link w:val="HeaderChar"/>
    <w:uiPriority w:val="99"/>
    <w:unhideWhenUsed/>
    <w:rsid w:val="002B1E9C"/>
    <w:pPr>
      <w:tabs>
        <w:tab w:pos="4680" w:val="center"/>
        <w:tab w:pos="9360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2B1E9C"/>
  </w:style>
  <w:style w:styleId="Footer" w:type="paragraph">
    <w:name w:val="footer"/>
    <w:basedOn w:val="Normal"/>
    <w:link w:val="FooterChar"/>
    <w:uiPriority w:val="99"/>
    <w:unhideWhenUsed/>
    <w:rsid w:val="002B1E9C"/>
    <w:pPr>
      <w:tabs>
        <w:tab w:pos="4680" w:val="center"/>
        <w:tab w:pos="9360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2B1E9C"/>
  </w:style>
  <w:style w:styleId="BalloonText" w:type="paragraph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F76971"/>
    <w:rPr>
      <w:rFonts w:ascii="Segoe UI" w:cs="Segoe UI" w:hAnsi="Segoe UI"/>
      <w:sz w:val="18"/>
      <w:szCs w:val="18"/>
    </w:rPr>
  </w:style>
  <w:style w:customStyle="1" w:styleId="rvtxt" w:type="character">
    <w:name w:val="rvtxt"/>
    <w:basedOn w:val="DefaultParagraphFont"/>
    <w:rsid w:val="00367C9F"/>
  </w:style>
  <w:style w:customStyle="1" w:styleId="txtnum" w:type="character">
    <w:name w:val="txtnum"/>
    <w:basedOn w:val="DefaultParagraphFont"/>
    <w:rsid w:val="00367C9F"/>
  </w:style>
  <w:style w:customStyle="1" w:styleId="wbr" w:type="character">
    <w:name w:val="wbr"/>
    <w:basedOn w:val="DefaultParagraphFont"/>
    <w:rsid w:val="00367C9F"/>
  </w:style>
  <w:style w:customStyle="1" w:styleId="nowrap" w:type="character">
    <w:name w:val="nowrap"/>
    <w:basedOn w:val="DefaultParagraphFont"/>
    <w:rsid w:val="00367C9F"/>
  </w:style>
  <w:style w:customStyle="1" w:styleId="eqmathbb" w:type="character">
    <w:name w:val="eqmathbb"/>
    <w:basedOn w:val="DefaultParagraphFont"/>
    <w:rsid w:val="00367C9F"/>
  </w:style>
  <w:style w:customStyle="1" w:styleId="eqtext" w:type="character">
    <w:name w:val="eqtext"/>
    <w:basedOn w:val="DefaultParagraphFont"/>
    <w:rsid w:val="00367C9F"/>
  </w:style>
  <w:style w:customStyle="1" w:styleId="eqspace" w:type="character">
    <w:name w:val="eqspace"/>
    <w:basedOn w:val="DefaultParagraphFont"/>
    <w:rsid w:val="00367C9F"/>
  </w:style>
  <w:style w:styleId="PlainTable2" w:type="table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80" w:val="single"/>
        <w:bottom w:color="7F7F7F" w:space="0" w:sz="4" w:themeColor="text1" w:themeTint="80" w:val="single"/>
      </w:tblBorders>
    </w:tblPr>
    <w:tblStylePr w:type="firstRow">
      <w:rPr>
        <w:b/>
        <w:bC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</w:rPr>
      <w:tblPr/>
      <w:tcPr>
        <w:tcBorders>
          <w:top w:color="7F7F7F" w:space="0" w:sz="4" w:themeColor="text1" w:themeTint="8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2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1Horz">
      <w:tblPr/>
      <w:tcPr>
        <w:tcBorders>
          <w:top w:color="7F7F7F" w:space="0" w:sz="4" w:themeColor="text1" w:themeTint="80" w:val="single"/>
          <w:bottom w:color="7F7F7F" w:space="0" w:sz="4" w:themeColor="text1" w:themeTint="80" w:val="single"/>
        </w:tcBorders>
      </w:tcPr>
    </w:tblStylePr>
  </w:style>
  <w:style w:styleId="PlainTable3" w:type="table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color="7F7F7F" w:space="0" w:sz="4" w:themeColor="text1" w:themeTint="80" w:val="single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styleId="PlainTable4" w:type="table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Heading4Char" w:type="character">
    <w:name w:val="Heading 4 Char"/>
    <w:basedOn w:val="DefaultParagraphFont"/>
    <w:link w:val="Heading4"/>
    <w:uiPriority w:val="9"/>
    <w:rsid w:val="00E45B8F"/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Heading5Char" w:type="character">
    <w:name w:val="Heading 5 Char"/>
    <w:basedOn w:val="DefaultParagraphFont"/>
    <w:link w:val="Heading5"/>
    <w:uiPriority w:val="9"/>
    <w:rsid w:val="00E45B8F"/>
    <w:rPr>
      <w:rFonts w:ascii="Times New Roman" w:cs="Times New Roman" w:eastAsia="Times New Roman" w:hAnsi="Times New Roman"/>
      <w:b/>
      <w:bCs/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Finding Definite Integrals Using Area Formulas</dc:title>
  <dc:creator/>
  <cp:keywords/>
  <dcterms:created xsi:type="dcterms:W3CDTF">2026-07-16T23:57:00Z</dcterms:created>
  <dcterms:modified xsi:type="dcterms:W3CDTF">2026-07-16T23:57:00Z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